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57F" w:rsidRPr="00724058" w:rsidRDefault="00DD42D1" w:rsidP="00B166B4">
      <w:pPr>
        <w:spacing w:afterLines="50" w:after="156"/>
        <w:jc w:val="center"/>
        <w:rPr>
          <w:rFonts w:ascii="黑体" w:eastAsia="黑体" w:hAnsi="宋体"/>
          <w:sz w:val="36"/>
          <w:szCs w:val="36"/>
        </w:rPr>
      </w:pPr>
      <w:r w:rsidRPr="00724058">
        <w:rPr>
          <w:rFonts w:ascii="黑体" w:eastAsia="黑体" w:hAnsi="宋体" w:hint="eastAsia"/>
          <w:sz w:val="36"/>
          <w:szCs w:val="36"/>
        </w:rPr>
        <w:t>中科院大连化物所201</w:t>
      </w:r>
      <w:r w:rsidR="001767C5">
        <w:rPr>
          <w:rFonts w:ascii="黑体" w:eastAsia="黑体" w:hAnsi="宋体" w:hint="eastAsia"/>
          <w:sz w:val="36"/>
          <w:szCs w:val="36"/>
        </w:rPr>
        <w:t>4</w:t>
      </w:r>
      <w:r w:rsidRPr="00724058">
        <w:rPr>
          <w:rFonts w:ascii="黑体" w:eastAsia="黑体" w:hAnsi="宋体" w:hint="eastAsia"/>
          <w:sz w:val="36"/>
          <w:szCs w:val="36"/>
        </w:rPr>
        <w:t>年度冠名奖</w:t>
      </w:r>
      <w:r w:rsidR="00404E6D">
        <w:rPr>
          <w:rFonts w:ascii="黑体" w:eastAsia="黑体" w:hAnsi="宋体" w:hint="eastAsia"/>
          <w:sz w:val="36"/>
          <w:szCs w:val="36"/>
        </w:rPr>
        <w:t>公示材料</w:t>
      </w:r>
      <w:r w:rsidRPr="00724058">
        <w:rPr>
          <w:rFonts w:ascii="黑体" w:eastAsia="黑体" w:hAnsi="宋体" w:hint="eastAsia"/>
          <w:sz w:val="36"/>
          <w:szCs w:val="36"/>
        </w:rPr>
        <w:t>（集体）</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3323"/>
        <w:gridCol w:w="2112"/>
        <w:gridCol w:w="1520"/>
      </w:tblGrid>
      <w:tr w:rsidR="000418A0" w:rsidRPr="00724058" w:rsidTr="000418A0">
        <w:trPr>
          <w:jc w:val="center"/>
        </w:trPr>
        <w:tc>
          <w:tcPr>
            <w:tcW w:w="3164" w:type="dxa"/>
          </w:tcPr>
          <w:p w:rsidR="000418A0" w:rsidRPr="00724058" w:rsidRDefault="000418A0" w:rsidP="006201DF">
            <w:pPr>
              <w:spacing w:line="540" w:lineRule="exact"/>
              <w:jc w:val="center"/>
              <w:rPr>
                <w:rFonts w:ascii="仿宋_GB2312" w:eastAsia="仿宋_GB2312"/>
                <w:sz w:val="30"/>
                <w:szCs w:val="30"/>
              </w:rPr>
            </w:pPr>
            <w:r w:rsidRPr="00724058">
              <w:rPr>
                <w:rFonts w:ascii="仿宋_GB2312" w:eastAsia="仿宋_GB2312" w:hint="eastAsia"/>
                <w:sz w:val="30"/>
                <w:szCs w:val="30"/>
              </w:rPr>
              <w:t>被推荐集体名称</w:t>
            </w:r>
          </w:p>
        </w:tc>
        <w:tc>
          <w:tcPr>
            <w:tcW w:w="3323" w:type="dxa"/>
          </w:tcPr>
          <w:p w:rsidR="000418A0" w:rsidRPr="00B13B2A" w:rsidRDefault="0007455D" w:rsidP="00B13B2A">
            <w:pPr>
              <w:spacing w:line="540" w:lineRule="exact"/>
              <w:jc w:val="center"/>
              <w:rPr>
                <w:rFonts w:ascii="仿宋_GB2312" w:eastAsia="仿宋_GB2312"/>
                <w:sz w:val="30"/>
                <w:szCs w:val="30"/>
              </w:rPr>
            </w:pPr>
            <w:r w:rsidRPr="00B13B2A">
              <w:rPr>
                <w:rFonts w:ascii="仿宋_GB2312" w:eastAsia="仿宋_GB2312" w:hint="eastAsia"/>
                <w:sz w:val="30"/>
                <w:szCs w:val="30"/>
              </w:rPr>
              <w:t>储能技术研究部</w:t>
            </w:r>
          </w:p>
        </w:tc>
        <w:tc>
          <w:tcPr>
            <w:tcW w:w="2112" w:type="dxa"/>
            <w:vAlign w:val="center"/>
          </w:tcPr>
          <w:p w:rsidR="000418A0" w:rsidRPr="00B13B2A" w:rsidRDefault="000418A0" w:rsidP="00B13B2A">
            <w:pPr>
              <w:jc w:val="center"/>
              <w:rPr>
                <w:rFonts w:ascii="仿宋_GB2312" w:eastAsia="仿宋_GB2312"/>
                <w:sz w:val="30"/>
                <w:szCs w:val="30"/>
              </w:rPr>
            </w:pPr>
            <w:r w:rsidRPr="00B13B2A">
              <w:rPr>
                <w:rFonts w:ascii="仿宋_GB2312" w:eastAsia="仿宋_GB2312" w:hint="eastAsia"/>
                <w:sz w:val="30"/>
                <w:szCs w:val="30"/>
              </w:rPr>
              <w:t>负责人姓名</w:t>
            </w:r>
          </w:p>
        </w:tc>
        <w:tc>
          <w:tcPr>
            <w:tcW w:w="1520" w:type="dxa"/>
            <w:vAlign w:val="center"/>
          </w:tcPr>
          <w:p w:rsidR="000418A0" w:rsidRPr="00B13B2A" w:rsidRDefault="0007455D" w:rsidP="00B13B2A">
            <w:pPr>
              <w:spacing w:line="540" w:lineRule="exact"/>
              <w:jc w:val="center"/>
              <w:rPr>
                <w:rFonts w:ascii="仿宋_GB2312" w:eastAsia="仿宋_GB2312"/>
                <w:sz w:val="30"/>
                <w:szCs w:val="30"/>
              </w:rPr>
            </w:pPr>
            <w:r w:rsidRPr="00B13B2A">
              <w:rPr>
                <w:rFonts w:ascii="仿宋_GB2312" w:eastAsia="仿宋_GB2312" w:hint="eastAsia"/>
                <w:sz w:val="30"/>
                <w:szCs w:val="30"/>
              </w:rPr>
              <w:t>张华民</w:t>
            </w:r>
          </w:p>
        </w:tc>
      </w:tr>
      <w:tr w:rsidR="000418A0" w:rsidRPr="00724058" w:rsidTr="000418A0">
        <w:trPr>
          <w:jc w:val="center"/>
        </w:trPr>
        <w:tc>
          <w:tcPr>
            <w:tcW w:w="3164" w:type="dxa"/>
          </w:tcPr>
          <w:p w:rsidR="000418A0" w:rsidRPr="00724058" w:rsidRDefault="000418A0" w:rsidP="006201DF">
            <w:pPr>
              <w:spacing w:line="540" w:lineRule="exact"/>
              <w:jc w:val="center"/>
              <w:rPr>
                <w:rFonts w:ascii="仿宋_GB2312" w:eastAsia="仿宋_GB2312"/>
                <w:sz w:val="30"/>
                <w:szCs w:val="30"/>
              </w:rPr>
            </w:pPr>
            <w:r w:rsidRPr="00724058">
              <w:rPr>
                <w:rFonts w:ascii="仿宋_GB2312" w:eastAsia="仿宋_GB2312" w:hint="eastAsia"/>
                <w:sz w:val="30"/>
                <w:szCs w:val="30"/>
              </w:rPr>
              <w:t>申报冠名奖奖项名称</w:t>
            </w:r>
          </w:p>
        </w:tc>
        <w:tc>
          <w:tcPr>
            <w:tcW w:w="6955" w:type="dxa"/>
            <w:gridSpan w:val="3"/>
          </w:tcPr>
          <w:p w:rsidR="000418A0" w:rsidRPr="00B13B2A" w:rsidRDefault="0007455D" w:rsidP="009E0A26">
            <w:pPr>
              <w:spacing w:line="540" w:lineRule="exact"/>
              <w:jc w:val="center"/>
              <w:rPr>
                <w:rFonts w:ascii="仿宋_GB2312" w:eastAsia="仿宋_GB2312"/>
                <w:sz w:val="30"/>
                <w:szCs w:val="30"/>
              </w:rPr>
            </w:pPr>
            <w:r w:rsidRPr="00B13B2A">
              <w:rPr>
                <w:rFonts w:ascii="仿宋_GB2312" w:eastAsia="仿宋_GB2312" w:hint="eastAsia"/>
                <w:sz w:val="30"/>
                <w:szCs w:val="30"/>
              </w:rPr>
              <w:t>科技创新奖</w:t>
            </w:r>
          </w:p>
        </w:tc>
      </w:tr>
      <w:tr w:rsidR="000418A0" w:rsidRPr="00724058" w:rsidTr="000418A0">
        <w:trPr>
          <w:jc w:val="center"/>
        </w:trPr>
        <w:tc>
          <w:tcPr>
            <w:tcW w:w="3164" w:type="dxa"/>
          </w:tcPr>
          <w:p w:rsidR="000418A0" w:rsidRPr="00724058" w:rsidRDefault="000418A0" w:rsidP="006201DF">
            <w:pPr>
              <w:spacing w:line="540" w:lineRule="exact"/>
              <w:jc w:val="center"/>
              <w:rPr>
                <w:rFonts w:ascii="仿宋_GB2312" w:eastAsia="仿宋_GB2312"/>
                <w:sz w:val="30"/>
                <w:szCs w:val="30"/>
              </w:rPr>
            </w:pPr>
            <w:r w:rsidRPr="00724058">
              <w:rPr>
                <w:rFonts w:ascii="仿宋_GB2312" w:eastAsia="仿宋_GB2312" w:hint="eastAsia"/>
                <w:sz w:val="30"/>
                <w:szCs w:val="30"/>
              </w:rPr>
              <w:t>被推荐集体人员情况</w:t>
            </w:r>
          </w:p>
        </w:tc>
        <w:tc>
          <w:tcPr>
            <w:tcW w:w="6955" w:type="dxa"/>
            <w:gridSpan w:val="3"/>
          </w:tcPr>
          <w:p w:rsidR="000418A0" w:rsidRPr="00B13B2A" w:rsidRDefault="000418A0" w:rsidP="00B13B2A">
            <w:pPr>
              <w:spacing w:line="540" w:lineRule="exact"/>
              <w:jc w:val="center"/>
              <w:rPr>
                <w:rFonts w:ascii="仿宋_GB2312" w:eastAsia="仿宋_GB2312"/>
                <w:sz w:val="30"/>
                <w:szCs w:val="30"/>
              </w:rPr>
            </w:pPr>
            <w:r w:rsidRPr="00B13B2A">
              <w:rPr>
                <w:rFonts w:ascii="仿宋_GB2312" w:eastAsia="仿宋_GB2312" w:hint="eastAsia"/>
                <w:sz w:val="30"/>
                <w:szCs w:val="30"/>
              </w:rPr>
              <w:t>职工：</w:t>
            </w:r>
            <w:r w:rsidR="00981A09" w:rsidRPr="00B13B2A">
              <w:rPr>
                <w:rFonts w:ascii="仿宋_GB2312" w:eastAsia="仿宋_GB2312" w:hint="eastAsia"/>
                <w:sz w:val="30"/>
                <w:szCs w:val="30"/>
              </w:rPr>
              <w:t>15</w:t>
            </w:r>
            <w:r w:rsidRPr="00B13B2A">
              <w:rPr>
                <w:rFonts w:ascii="仿宋_GB2312" w:eastAsia="仿宋_GB2312" w:hint="eastAsia"/>
                <w:sz w:val="30"/>
                <w:szCs w:val="30"/>
              </w:rPr>
              <w:t>名；研究生：</w:t>
            </w:r>
            <w:r w:rsidR="00981A09" w:rsidRPr="00B13B2A">
              <w:rPr>
                <w:rFonts w:ascii="仿宋_GB2312" w:eastAsia="仿宋_GB2312" w:hint="eastAsia"/>
                <w:sz w:val="30"/>
                <w:szCs w:val="30"/>
              </w:rPr>
              <w:t>10</w:t>
            </w:r>
            <w:r w:rsidRPr="00B13B2A">
              <w:rPr>
                <w:rFonts w:ascii="仿宋_GB2312" w:eastAsia="仿宋_GB2312" w:hint="eastAsia"/>
                <w:sz w:val="30"/>
                <w:szCs w:val="30"/>
              </w:rPr>
              <w:t>名；返聘职工：</w:t>
            </w:r>
            <w:r w:rsidR="00B46FF6" w:rsidRPr="00B13B2A">
              <w:rPr>
                <w:rFonts w:ascii="仿宋_GB2312" w:eastAsia="仿宋_GB2312" w:hint="eastAsia"/>
                <w:sz w:val="30"/>
                <w:szCs w:val="30"/>
              </w:rPr>
              <w:t>1</w:t>
            </w:r>
            <w:r w:rsidRPr="00B13B2A">
              <w:rPr>
                <w:rFonts w:ascii="仿宋_GB2312" w:eastAsia="仿宋_GB2312" w:hint="eastAsia"/>
                <w:sz w:val="30"/>
                <w:szCs w:val="30"/>
              </w:rPr>
              <w:t>名</w:t>
            </w:r>
          </w:p>
        </w:tc>
      </w:tr>
      <w:tr w:rsidR="000418A0" w:rsidRPr="00724058" w:rsidTr="000418A0">
        <w:trPr>
          <w:jc w:val="center"/>
        </w:trPr>
        <w:tc>
          <w:tcPr>
            <w:tcW w:w="10119" w:type="dxa"/>
            <w:gridSpan w:val="4"/>
          </w:tcPr>
          <w:p w:rsidR="000418A0" w:rsidRPr="00724058" w:rsidRDefault="000418A0" w:rsidP="00DD42D1">
            <w:pPr>
              <w:rPr>
                <w:rFonts w:ascii="仿宋_GB2312" w:eastAsia="仿宋_GB2312" w:hAnsi="宋体"/>
                <w:sz w:val="32"/>
                <w:szCs w:val="32"/>
              </w:rPr>
            </w:pPr>
            <w:r w:rsidRPr="00405D7A">
              <w:rPr>
                <w:rFonts w:ascii="仿宋_GB2312" w:eastAsia="仿宋_GB2312" w:hAnsi="宋体" w:hint="eastAsia"/>
                <w:sz w:val="30"/>
                <w:szCs w:val="30"/>
              </w:rPr>
              <w:t>主要事迹：</w:t>
            </w:r>
            <w:r w:rsidRPr="00724058">
              <w:rPr>
                <w:rFonts w:ascii="宋体" w:hAnsi="宋体" w:hint="eastAsia"/>
                <w:sz w:val="24"/>
              </w:rPr>
              <w:t>（</w:t>
            </w:r>
            <w:r w:rsidR="00772AE2">
              <w:rPr>
                <w:rFonts w:ascii="宋体" w:hAnsi="宋体" w:hint="eastAsia"/>
                <w:sz w:val="24"/>
              </w:rPr>
              <w:t>8</w:t>
            </w:r>
            <w:r w:rsidRPr="00724058">
              <w:rPr>
                <w:rFonts w:ascii="宋体" w:hAnsi="宋体" w:hint="eastAsia"/>
                <w:sz w:val="24"/>
              </w:rPr>
              <w:t>00字，小四宋体，单</w:t>
            </w:r>
            <w:proofErr w:type="gramStart"/>
            <w:r w:rsidRPr="00724058">
              <w:rPr>
                <w:rFonts w:ascii="宋体" w:hAnsi="宋体" w:hint="eastAsia"/>
                <w:sz w:val="24"/>
              </w:rPr>
              <w:t>倍</w:t>
            </w:r>
            <w:proofErr w:type="gramEnd"/>
            <w:r w:rsidRPr="00724058">
              <w:rPr>
                <w:rFonts w:ascii="宋体" w:hAnsi="宋体" w:hint="eastAsia"/>
                <w:sz w:val="24"/>
              </w:rPr>
              <w:t>行距。有获奖、专利、专著、论文等，请复印首页附后）</w:t>
            </w:r>
          </w:p>
          <w:p w:rsidR="0007455D" w:rsidRDefault="00981A09" w:rsidP="00301A64">
            <w:pPr>
              <w:ind w:firstLineChars="200" w:firstLine="480"/>
              <w:rPr>
                <w:rFonts w:asciiTheme="majorEastAsia" w:eastAsiaTheme="majorEastAsia" w:hAnsiTheme="majorEastAsia"/>
                <w:sz w:val="24"/>
              </w:rPr>
            </w:pPr>
            <w:r w:rsidRPr="00301A64">
              <w:rPr>
                <w:rFonts w:asciiTheme="majorEastAsia" w:eastAsiaTheme="majorEastAsia" w:hAnsiTheme="majorEastAsia" w:hint="eastAsia"/>
                <w:sz w:val="24"/>
              </w:rPr>
              <w:t>储能技术研究部液流电池研究团队在</w:t>
            </w:r>
            <w:r w:rsidR="0007455D" w:rsidRPr="00301A64">
              <w:rPr>
                <w:rFonts w:asciiTheme="majorEastAsia" w:eastAsiaTheme="majorEastAsia" w:hAnsiTheme="majorEastAsia" w:hint="eastAsia"/>
                <w:sz w:val="24"/>
              </w:rPr>
              <w:t>201</w:t>
            </w:r>
            <w:r w:rsidR="00927E4C" w:rsidRPr="00301A64">
              <w:rPr>
                <w:rFonts w:asciiTheme="majorEastAsia" w:eastAsiaTheme="majorEastAsia" w:hAnsiTheme="majorEastAsia" w:hint="eastAsia"/>
                <w:sz w:val="24"/>
              </w:rPr>
              <w:t>4</w:t>
            </w:r>
            <w:r w:rsidR="0007455D" w:rsidRPr="00301A64">
              <w:rPr>
                <w:rFonts w:asciiTheme="majorEastAsia" w:eastAsiaTheme="majorEastAsia" w:hAnsiTheme="majorEastAsia" w:hint="eastAsia"/>
                <w:sz w:val="24"/>
              </w:rPr>
              <w:t>年，在全体研究人员和研究生的共同努力下，取得了多项研究成果及重大技术突破。</w:t>
            </w:r>
          </w:p>
          <w:p w:rsidR="00CF5254" w:rsidRPr="00301A64" w:rsidRDefault="00CF5254" w:rsidP="00301A64">
            <w:pPr>
              <w:ind w:firstLineChars="200" w:firstLine="480"/>
              <w:rPr>
                <w:rFonts w:asciiTheme="majorEastAsia" w:eastAsiaTheme="majorEastAsia" w:hAnsiTheme="majorEastAsia"/>
                <w:sz w:val="24"/>
              </w:rPr>
            </w:pPr>
            <w:bookmarkStart w:id="0" w:name="_GoBack"/>
            <w:bookmarkEnd w:id="0"/>
          </w:p>
          <w:p w:rsidR="0007455D" w:rsidRDefault="0007455D" w:rsidP="00301A64">
            <w:pPr>
              <w:ind w:firstLineChars="200" w:firstLine="480"/>
              <w:rPr>
                <w:rFonts w:asciiTheme="majorEastAsia" w:eastAsiaTheme="majorEastAsia" w:hAnsiTheme="majorEastAsia"/>
                <w:sz w:val="24"/>
              </w:rPr>
            </w:pPr>
            <w:r w:rsidRPr="00301A64">
              <w:rPr>
                <w:rFonts w:asciiTheme="majorEastAsia" w:eastAsiaTheme="majorEastAsia" w:hAnsiTheme="majorEastAsia" w:hint="eastAsia"/>
                <w:sz w:val="24"/>
              </w:rPr>
              <w:t>作为项目主持单位，研究组承担了973 计划“大规模高效液流电池储能技术的基础研究”项目；中国科学院</w:t>
            </w:r>
            <w:r w:rsidR="00612488" w:rsidRPr="00301A64">
              <w:rPr>
                <w:rFonts w:asciiTheme="majorEastAsia" w:eastAsiaTheme="majorEastAsia" w:hAnsiTheme="majorEastAsia" w:hint="eastAsia"/>
                <w:sz w:val="24"/>
              </w:rPr>
              <w:t>重点部署项目</w:t>
            </w:r>
            <w:r w:rsidRPr="00301A64">
              <w:rPr>
                <w:rFonts w:asciiTheme="majorEastAsia" w:eastAsiaTheme="majorEastAsia" w:hAnsiTheme="majorEastAsia" w:hint="eastAsia"/>
                <w:sz w:val="24"/>
              </w:rPr>
              <w:t>及</w:t>
            </w:r>
            <w:r w:rsidR="00612488" w:rsidRPr="00301A64">
              <w:rPr>
                <w:rFonts w:asciiTheme="majorEastAsia" w:eastAsiaTheme="majorEastAsia" w:hAnsiTheme="majorEastAsia" w:hint="eastAsia"/>
                <w:sz w:val="24"/>
              </w:rPr>
              <w:t>国家自然科学基金</w:t>
            </w:r>
            <w:r w:rsidR="00E0332E" w:rsidRPr="00301A64">
              <w:rPr>
                <w:rFonts w:asciiTheme="majorEastAsia" w:eastAsiaTheme="majorEastAsia" w:hAnsiTheme="majorEastAsia" w:hint="eastAsia"/>
                <w:sz w:val="24"/>
              </w:rPr>
              <w:t>国际合作</w:t>
            </w:r>
            <w:r w:rsidRPr="00301A64">
              <w:rPr>
                <w:rFonts w:asciiTheme="majorEastAsia" w:eastAsiaTheme="majorEastAsia" w:hAnsiTheme="majorEastAsia" w:hint="eastAsia"/>
                <w:sz w:val="24"/>
              </w:rPr>
              <w:t>等</w:t>
            </w:r>
            <w:r w:rsidR="00612488" w:rsidRPr="00301A64">
              <w:rPr>
                <w:rFonts w:asciiTheme="majorEastAsia" w:eastAsiaTheme="majorEastAsia" w:hAnsiTheme="majorEastAsia" w:hint="eastAsia"/>
                <w:sz w:val="24"/>
              </w:rPr>
              <w:t>项目</w:t>
            </w:r>
            <w:r w:rsidRPr="00301A64">
              <w:rPr>
                <w:rFonts w:asciiTheme="majorEastAsia" w:eastAsiaTheme="majorEastAsia" w:hAnsiTheme="majorEastAsia" w:hint="eastAsia"/>
                <w:sz w:val="24"/>
              </w:rPr>
              <w:t>。</w:t>
            </w:r>
          </w:p>
          <w:p w:rsidR="00CF5254" w:rsidRPr="00301A64" w:rsidRDefault="00CF5254" w:rsidP="00301A64">
            <w:pPr>
              <w:ind w:firstLineChars="200" w:firstLine="480"/>
              <w:rPr>
                <w:rFonts w:asciiTheme="majorEastAsia" w:eastAsiaTheme="majorEastAsia" w:hAnsiTheme="majorEastAsia"/>
                <w:sz w:val="24"/>
              </w:rPr>
            </w:pPr>
          </w:p>
          <w:p w:rsidR="0007455D" w:rsidRDefault="0007455D" w:rsidP="00301A64">
            <w:pPr>
              <w:ind w:firstLine="480"/>
              <w:rPr>
                <w:rFonts w:asciiTheme="majorEastAsia" w:eastAsiaTheme="majorEastAsia" w:hAnsiTheme="majorEastAsia"/>
                <w:sz w:val="24"/>
              </w:rPr>
            </w:pPr>
            <w:r w:rsidRPr="00301A64">
              <w:rPr>
                <w:rFonts w:asciiTheme="majorEastAsia" w:eastAsiaTheme="majorEastAsia" w:hAnsiTheme="majorEastAsia" w:hint="eastAsia"/>
                <w:sz w:val="24"/>
              </w:rPr>
              <w:t>在上述项目的资助下，</w:t>
            </w:r>
            <w:proofErr w:type="gramStart"/>
            <w:r w:rsidRPr="00301A64">
              <w:rPr>
                <w:rFonts w:asciiTheme="majorEastAsia" w:eastAsiaTheme="majorEastAsia" w:hAnsiTheme="majorEastAsia" w:hint="eastAsia"/>
                <w:sz w:val="24"/>
              </w:rPr>
              <w:t>全钒液流</w:t>
            </w:r>
            <w:proofErr w:type="gramEnd"/>
            <w:r w:rsidRPr="00301A64">
              <w:rPr>
                <w:rFonts w:asciiTheme="majorEastAsia" w:eastAsiaTheme="majorEastAsia" w:hAnsiTheme="majorEastAsia" w:hint="eastAsia"/>
                <w:sz w:val="24"/>
              </w:rPr>
              <w:t>电池关键材料——</w:t>
            </w:r>
            <w:proofErr w:type="gramStart"/>
            <w:r w:rsidRPr="00301A64">
              <w:rPr>
                <w:rFonts w:asciiTheme="majorEastAsia" w:eastAsiaTheme="majorEastAsia" w:hAnsiTheme="majorEastAsia" w:hint="eastAsia"/>
                <w:sz w:val="24"/>
              </w:rPr>
              <w:t>非氟离子</w:t>
            </w:r>
            <w:proofErr w:type="gramEnd"/>
            <w:r w:rsidR="00927E4C" w:rsidRPr="00301A64">
              <w:rPr>
                <w:rFonts w:asciiTheme="majorEastAsia" w:eastAsiaTheme="majorEastAsia" w:hAnsiTheme="majorEastAsia" w:hint="eastAsia"/>
                <w:sz w:val="24"/>
              </w:rPr>
              <w:t>传导膜材料取得重要进展</w:t>
            </w:r>
            <w:r w:rsidRPr="00301A64">
              <w:rPr>
                <w:rFonts w:asciiTheme="majorEastAsia" w:eastAsiaTheme="majorEastAsia" w:hAnsiTheme="majorEastAsia" w:hint="eastAsia"/>
                <w:sz w:val="24"/>
              </w:rPr>
              <w:t>，</w:t>
            </w:r>
            <w:r w:rsidR="00E0332E" w:rsidRPr="00301A64">
              <w:rPr>
                <w:rFonts w:asciiTheme="majorEastAsia" w:eastAsiaTheme="majorEastAsia" w:hAnsiTheme="majorEastAsia" w:hint="eastAsia"/>
                <w:sz w:val="24"/>
              </w:rPr>
              <w:t>突破</w:t>
            </w:r>
            <w:proofErr w:type="gramStart"/>
            <w:r w:rsidR="00E0332E" w:rsidRPr="00301A64">
              <w:rPr>
                <w:rFonts w:asciiTheme="majorEastAsia" w:eastAsiaTheme="majorEastAsia" w:hAnsiTheme="majorEastAsia" w:hint="eastAsia"/>
                <w:sz w:val="24"/>
              </w:rPr>
              <w:t>了全钒液流</w:t>
            </w:r>
            <w:proofErr w:type="gramEnd"/>
            <w:r w:rsidRPr="00301A64">
              <w:rPr>
                <w:rFonts w:asciiTheme="majorEastAsia" w:eastAsiaTheme="majorEastAsia" w:hAnsiTheme="majorEastAsia" w:hint="eastAsia"/>
                <w:sz w:val="24"/>
              </w:rPr>
              <w:t>电池</w:t>
            </w:r>
            <w:proofErr w:type="gramStart"/>
            <w:r w:rsidRPr="00301A64">
              <w:rPr>
                <w:rFonts w:asciiTheme="majorEastAsia" w:eastAsiaTheme="majorEastAsia" w:hAnsiTheme="majorEastAsia" w:hint="eastAsia"/>
                <w:sz w:val="24"/>
              </w:rPr>
              <w:t>用</w:t>
            </w:r>
            <w:r w:rsidR="00927E4C" w:rsidRPr="00301A64">
              <w:rPr>
                <w:rFonts w:asciiTheme="majorEastAsia" w:eastAsiaTheme="majorEastAsia" w:hAnsiTheme="majorEastAsia" w:hint="eastAsia"/>
                <w:sz w:val="24"/>
              </w:rPr>
              <w:t>非氟离子</w:t>
            </w:r>
            <w:proofErr w:type="gramEnd"/>
            <w:r w:rsidR="00927E4C" w:rsidRPr="00301A64">
              <w:rPr>
                <w:rFonts w:asciiTheme="majorEastAsia" w:eastAsiaTheme="majorEastAsia" w:hAnsiTheme="majorEastAsia" w:hint="eastAsia"/>
                <w:sz w:val="24"/>
              </w:rPr>
              <w:t>传导膜的规模放大技术</w:t>
            </w:r>
            <w:r w:rsidRPr="00301A64">
              <w:rPr>
                <w:rFonts w:asciiTheme="majorEastAsia" w:eastAsiaTheme="majorEastAsia" w:hAnsiTheme="majorEastAsia" w:hint="eastAsia"/>
                <w:sz w:val="24"/>
              </w:rPr>
              <w:t>。</w:t>
            </w:r>
            <w:r w:rsidR="00927E4C" w:rsidRPr="00301A64">
              <w:rPr>
                <w:rFonts w:asciiTheme="majorEastAsia" w:eastAsiaTheme="majorEastAsia" w:hAnsiTheme="majorEastAsia" w:hint="eastAsia"/>
                <w:sz w:val="24"/>
              </w:rPr>
              <w:t>采用开发</w:t>
            </w:r>
            <w:proofErr w:type="gramStart"/>
            <w:r w:rsidR="00927E4C" w:rsidRPr="00301A64">
              <w:rPr>
                <w:rFonts w:asciiTheme="majorEastAsia" w:eastAsiaTheme="majorEastAsia" w:hAnsiTheme="majorEastAsia" w:hint="eastAsia"/>
                <w:sz w:val="24"/>
              </w:rPr>
              <w:t>的非氟离子</w:t>
            </w:r>
            <w:proofErr w:type="gramEnd"/>
            <w:r w:rsidR="00927E4C" w:rsidRPr="00301A64">
              <w:rPr>
                <w:rFonts w:asciiTheme="majorEastAsia" w:eastAsiaTheme="majorEastAsia" w:hAnsiTheme="majorEastAsia" w:hint="eastAsia"/>
                <w:sz w:val="24"/>
              </w:rPr>
              <w:t>传导膜材料集成出200kW全</w:t>
            </w:r>
            <w:proofErr w:type="gramStart"/>
            <w:r w:rsidR="00927E4C" w:rsidRPr="00301A64">
              <w:rPr>
                <w:rFonts w:asciiTheme="majorEastAsia" w:eastAsiaTheme="majorEastAsia" w:hAnsiTheme="majorEastAsia" w:hint="eastAsia"/>
                <w:sz w:val="24"/>
              </w:rPr>
              <w:t>国产化全钒液流</w:t>
            </w:r>
            <w:proofErr w:type="gramEnd"/>
            <w:r w:rsidR="00927E4C" w:rsidRPr="00301A64">
              <w:rPr>
                <w:rFonts w:asciiTheme="majorEastAsia" w:eastAsiaTheme="majorEastAsia" w:hAnsiTheme="majorEastAsia" w:hint="eastAsia"/>
                <w:sz w:val="24"/>
              </w:rPr>
              <w:t>电池系统，系统能量效率超过</w:t>
            </w:r>
            <w:r w:rsidR="0023705E" w:rsidRPr="00301A64">
              <w:rPr>
                <w:rFonts w:asciiTheme="majorEastAsia" w:eastAsiaTheme="majorEastAsia" w:hAnsiTheme="majorEastAsia" w:hint="eastAsia"/>
                <w:sz w:val="24"/>
              </w:rPr>
              <w:t>了</w:t>
            </w:r>
            <w:r w:rsidR="00927E4C" w:rsidRPr="00301A64">
              <w:rPr>
                <w:rFonts w:asciiTheme="majorEastAsia" w:eastAsiaTheme="majorEastAsia" w:hAnsiTheme="majorEastAsia" w:hint="eastAsia"/>
                <w:sz w:val="24"/>
              </w:rPr>
              <w:t>75%，</w:t>
            </w:r>
            <w:r w:rsidR="00E0332E" w:rsidRPr="00301A64">
              <w:rPr>
                <w:rFonts w:asciiTheme="majorEastAsia" w:eastAsiaTheme="majorEastAsia" w:hAnsiTheme="majorEastAsia" w:hint="eastAsia"/>
                <w:sz w:val="24"/>
              </w:rPr>
              <w:t>技术</w:t>
            </w:r>
            <w:r w:rsidR="00981A09" w:rsidRPr="00301A64">
              <w:rPr>
                <w:rFonts w:asciiTheme="majorEastAsia" w:eastAsiaTheme="majorEastAsia" w:hAnsiTheme="majorEastAsia" w:hint="eastAsia"/>
                <w:sz w:val="24"/>
              </w:rPr>
              <w:t>达到国际领先</w:t>
            </w:r>
            <w:r w:rsidR="00927E4C" w:rsidRPr="00301A64">
              <w:rPr>
                <w:rFonts w:asciiTheme="majorEastAsia" w:eastAsiaTheme="majorEastAsia" w:hAnsiTheme="majorEastAsia" w:hint="eastAsia"/>
                <w:sz w:val="24"/>
              </w:rPr>
              <w:t>水平。</w:t>
            </w:r>
          </w:p>
          <w:p w:rsidR="00CF5254" w:rsidRPr="00301A64" w:rsidRDefault="00CF5254" w:rsidP="00301A64">
            <w:pPr>
              <w:ind w:firstLine="480"/>
              <w:rPr>
                <w:rFonts w:asciiTheme="majorEastAsia" w:eastAsiaTheme="majorEastAsia" w:hAnsiTheme="majorEastAsia"/>
                <w:sz w:val="24"/>
              </w:rPr>
            </w:pPr>
          </w:p>
          <w:p w:rsidR="00927E4C" w:rsidRDefault="00E0332E" w:rsidP="00301A64">
            <w:pPr>
              <w:ind w:firstLine="480"/>
              <w:rPr>
                <w:rFonts w:asciiTheme="majorEastAsia" w:eastAsiaTheme="majorEastAsia" w:hAnsiTheme="majorEastAsia"/>
                <w:sz w:val="24"/>
              </w:rPr>
            </w:pPr>
            <w:r w:rsidRPr="00301A64">
              <w:rPr>
                <w:rFonts w:asciiTheme="majorEastAsia" w:eastAsiaTheme="majorEastAsia" w:hAnsiTheme="majorEastAsia" w:hint="eastAsia"/>
                <w:sz w:val="24"/>
              </w:rPr>
              <w:t>突破了高</w:t>
            </w:r>
            <w:proofErr w:type="gramStart"/>
            <w:r w:rsidRPr="00301A64">
              <w:rPr>
                <w:rFonts w:asciiTheme="majorEastAsia" w:eastAsiaTheme="majorEastAsia" w:hAnsiTheme="majorEastAsia" w:hint="eastAsia"/>
                <w:sz w:val="24"/>
              </w:rPr>
              <w:t>功率密度电堆关键</w:t>
            </w:r>
            <w:proofErr w:type="gramEnd"/>
            <w:r w:rsidRPr="00301A64">
              <w:rPr>
                <w:rFonts w:asciiTheme="majorEastAsia" w:eastAsiaTheme="majorEastAsia" w:hAnsiTheme="majorEastAsia" w:hint="eastAsia"/>
                <w:sz w:val="24"/>
              </w:rPr>
              <w:t>技术，</w:t>
            </w:r>
            <w:r w:rsidR="00927E4C" w:rsidRPr="00301A64">
              <w:rPr>
                <w:rFonts w:asciiTheme="majorEastAsia" w:eastAsiaTheme="majorEastAsia" w:hAnsiTheme="majorEastAsia" w:hint="eastAsia"/>
                <w:sz w:val="24"/>
              </w:rPr>
              <w:t>通过材料创新、结构创新、开发出30kW级高功率密度电堆</w:t>
            </w:r>
            <w:r w:rsidRPr="00301A64">
              <w:rPr>
                <w:rFonts w:asciiTheme="majorEastAsia" w:eastAsiaTheme="majorEastAsia" w:hAnsiTheme="majorEastAsia" w:hint="eastAsia"/>
                <w:sz w:val="24"/>
              </w:rPr>
              <w:t>。</w:t>
            </w:r>
            <w:r w:rsidR="00927E4C" w:rsidRPr="00301A64">
              <w:rPr>
                <w:rFonts w:asciiTheme="majorEastAsia" w:eastAsiaTheme="majorEastAsia" w:hAnsiTheme="majorEastAsia" w:hint="eastAsia"/>
                <w:sz w:val="24"/>
              </w:rPr>
              <w:t>在140 mA/cm</w:t>
            </w:r>
            <w:r w:rsidR="00927E4C" w:rsidRPr="00301A64">
              <w:rPr>
                <w:rFonts w:asciiTheme="majorEastAsia" w:eastAsiaTheme="majorEastAsia" w:hAnsiTheme="majorEastAsia" w:hint="eastAsia"/>
                <w:sz w:val="24"/>
                <w:vertAlign w:val="superscript"/>
              </w:rPr>
              <w:t>2</w:t>
            </w:r>
            <w:r w:rsidR="00927E4C" w:rsidRPr="00301A64">
              <w:rPr>
                <w:rFonts w:asciiTheme="majorEastAsia" w:eastAsiaTheme="majorEastAsia" w:hAnsiTheme="majorEastAsia" w:hint="eastAsia"/>
                <w:sz w:val="24"/>
              </w:rPr>
              <w:t>充放电条件下，能量效率</w:t>
            </w:r>
            <w:r w:rsidRPr="00301A64">
              <w:rPr>
                <w:rFonts w:asciiTheme="majorEastAsia" w:eastAsiaTheme="majorEastAsia" w:hAnsiTheme="majorEastAsia" w:hint="eastAsia"/>
                <w:sz w:val="24"/>
              </w:rPr>
              <w:t>达到了</w:t>
            </w:r>
            <w:r w:rsidR="00927E4C" w:rsidRPr="00301A64">
              <w:rPr>
                <w:rFonts w:asciiTheme="majorEastAsia" w:eastAsiaTheme="majorEastAsia" w:hAnsiTheme="majorEastAsia" w:hint="eastAsia"/>
                <w:sz w:val="24"/>
              </w:rPr>
              <w:t>80%。大幅度降低了液流电池成本</w:t>
            </w:r>
            <w:r w:rsidRPr="00301A64">
              <w:rPr>
                <w:rFonts w:asciiTheme="majorEastAsia" w:eastAsiaTheme="majorEastAsia" w:hAnsiTheme="majorEastAsia" w:hint="eastAsia"/>
                <w:sz w:val="24"/>
              </w:rPr>
              <w:t>。</w:t>
            </w:r>
            <w:r w:rsidR="00927E4C" w:rsidRPr="00301A64">
              <w:rPr>
                <w:rFonts w:asciiTheme="majorEastAsia" w:eastAsiaTheme="majorEastAsia" w:hAnsiTheme="majorEastAsia" w:hint="eastAsia"/>
                <w:sz w:val="24"/>
              </w:rPr>
              <w:t>该成果对于推进液流电池产业化具有重要意义。</w:t>
            </w:r>
          </w:p>
          <w:p w:rsidR="00CF5254" w:rsidRPr="00301A64" w:rsidRDefault="00CF5254" w:rsidP="00301A64">
            <w:pPr>
              <w:ind w:firstLine="480"/>
              <w:rPr>
                <w:rFonts w:asciiTheme="majorEastAsia" w:eastAsiaTheme="majorEastAsia" w:hAnsiTheme="majorEastAsia"/>
                <w:sz w:val="24"/>
              </w:rPr>
            </w:pPr>
          </w:p>
          <w:p w:rsidR="00927E4C" w:rsidRPr="00CF5254" w:rsidRDefault="0023705E" w:rsidP="00301A64">
            <w:pPr>
              <w:pStyle w:val="a7"/>
              <w:spacing w:line="240" w:lineRule="auto"/>
              <w:rPr>
                <w:rFonts w:asciiTheme="majorEastAsia" w:eastAsiaTheme="majorEastAsia" w:hAnsiTheme="majorEastAsia"/>
              </w:rPr>
            </w:pPr>
            <w:r w:rsidRPr="00301A64">
              <w:rPr>
                <w:rFonts w:asciiTheme="majorEastAsia" w:eastAsiaTheme="majorEastAsia" w:hAnsiTheme="majorEastAsia" w:hint="eastAsia"/>
                <w:szCs w:val="24"/>
              </w:rPr>
              <w:t>进一步巩固了我所液流电</w:t>
            </w:r>
            <w:r w:rsidRPr="00CF5254">
              <w:rPr>
                <w:rFonts w:asciiTheme="majorEastAsia" w:eastAsiaTheme="majorEastAsia" w:hAnsiTheme="majorEastAsia" w:hint="eastAsia"/>
                <w:szCs w:val="24"/>
              </w:rPr>
              <w:t>池储能技术在</w:t>
            </w:r>
            <w:r w:rsidR="00C0061B" w:rsidRPr="00CF5254">
              <w:rPr>
                <w:rFonts w:asciiTheme="majorEastAsia" w:eastAsiaTheme="majorEastAsia" w:hAnsiTheme="majorEastAsia" w:hint="eastAsia"/>
              </w:rPr>
              <w:t>国内外的</w:t>
            </w:r>
            <w:r w:rsidRPr="00CF5254">
              <w:rPr>
                <w:rFonts w:asciiTheme="majorEastAsia" w:eastAsiaTheme="majorEastAsia" w:hAnsiTheme="majorEastAsia" w:hint="eastAsia"/>
                <w:szCs w:val="24"/>
              </w:rPr>
              <w:t>领先地位，</w:t>
            </w:r>
            <w:r w:rsidR="00C0061B" w:rsidRPr="00CF5254">
              <w:rPr>
                <w:rFonts w:asciiTheme="majorEastAsia" w:eastAsiaTheme="majorEastAsia" w:hAnsiTheme="majorEastAsia" w:hint="eastAsia"/>
              </w:rPr>
              <w:t>研究团队</w:t>
            </w:r>
            <w:r w:rsidR="00C0061B" w:rsidRPr="00CF5254">
              <w:rPr>
                <w:rFonts w:asciiTheme="majorEastAsia" w:eastAsiaTheme="majorEastAsia" w:hAnsiTheme="majorEastAsia" w:hint="eastAsia"/>
                <w:bCs/>
                <w:szCs w:val="24"/>
              </w:rPr>
              <w:t>牵头组建了国家能源液流电池技术标准委员会，并成为主任委员单位。研究团队起草的2项行业标准已颁布实施，起草的5项国家标准中的2项已颁布实施，并获得2014年度“电工标准-正泰创新奖”二等奖。</w:t>
            </w:r>
            <w:r w:rsidR="00C0061B" w:rsidRPr="00CF5254">
              <w:rPr>
                <w:rFonts w:asciiTheme="majorEastAsia" w:eastAsiaTheme="majorEastAsia" w:hAnsiTheme="majorEastAsia" w:hint="eastAsia"/>
                <w:szCs w:val="24"/>
              </w:rPr>
              <w:t>研究团队学术带头人张华民研究员被推选为国际液流电池通用技术条件及测试方法标准的负责人，全面负责国际液流电池标准的制定。</w:t>
            </w:r>
            <w:r w:rsidRPr="00CF5254">
              <w:rPr>
                <w:rFonts w:asciiTheme="majorEastAsia" w:eastAsiaTheme="majorEastAsia" w:hAnsiTheme="majorEastAsia" w:hint="eastAsia"/>
                <w:szCs w:val="24"/>
              </w:rPr>
              <w:t>并应邀在Nature</w:t>
            </w:r>
            <w:r w:rsidR="00E0332E" w:rsidRPr="00CF5254">
              <w:rPr>
                <w:rFonts w:asciiTheme="majorEastAsia" w:eastAsiaTheme="majorEastAsia" w:hAnsiTheme="majorEastAsia" w:hint="eastAsia"/>
                <w:szCs w:val="24"/>
              </w:rPr>
              <w:t>上</w:t>
            </w:r>
            <w:r w:rsidRPr="00CF5254">
              <w:rPr>
                <w:rFonts w:asciiTheme="majorEastAsia" w:eastAsiaTheme="majorEastAsia" w:hAnsiTheme="majorEastAsia" w:hint="eastAsia"/>
                <w:szCs w:val="24"/>
              </w:rPr>
              <w:t>发表</w:t>
            </w:r>
            <w:r w:rsidRPr="00CF5254">
              <w:rPr>
                <w:rFonts w:asciiTheme="majorEastAsia" w:eastAsiaTheme="majorEastAsia" w:hAnsiTheme="majorEastAsia"/>
                <w:szCs w:val="24"/>
              </w:rPr>
              <w:t>Correspondence</w:t>
            </w:r>
            <w:r w:rsidRPr="00CF5254">
              <w:rPr>
                <w:rFonts w:asciiTheme="majorEastAsia" w:eastAsiaTheme="majorEastAsia" w:hAnsiTheme="majorEastAsia" w:hint="eastAsia"/>
                <w:szCs w:val="24"/>
              </w:rPr>
              <w:t>评述文章</w:t>
            </w:r>
            <w:r w:rsidR="00E0332E" w:rsidRPr="00CF5254">
              <w:rPr>
                <w:rFonts w:asciiTheme="majorEastAsia" w:eastAsiaTheme="majorEastAsia" w:hAnsiTheme="majorEastAsia" w:hint="eastAsia"/>
                <w:szCs w:val="24"/>
              </w:rPr>
              <w:t>，</w:t>
            </w:r>
            <w:r w:rsidR="00C0061B" w:rsidRPr="00CF5254">
              <w:rPr>
                <w:rFonts w:asciiTheme="majorEastAsia" w:eastAsiaTheme="majorEastAsia" w:hAnsiTheme="majorEastAsia"/>
                <w:bCs/>
                <w:szCs w:val="24"/>
              </w:rPr>
              <w:t>体现了研究团队在液流电池领域的影响力</w:t>
            </w:r>
            <w:r w:rsidR="00C0061B" w:rsidRPr="00CF5254">
              <w:rPr>
                <w:rFonts w:asciiTheme="majorEastAsia" w:eastAsiaTheme="majorEastAsia" w:hAnsiTheme="majorEastAsia" w:hint="eastAsia"/>
                <w:bCs/>
                <w:szCs w:val="24"/>
              </w:rPr>
              <w:t>。</w:t>
            </w:r>
            <w:r w:rsidR="00C0061B" w:rsidRPr="00CF5254">
              <w:rPr>
                <w:rFonts w:asciiTheme="majorEastAsia" w:eastAsiaTheme="majorEastAsia" w:hAnsiTheme="majorEastAsia" w:hint="eastAsia"/>
              </w:rPr>
              <w:t xml:space="preserve"> </w:t>
            </w:r>
          </w:p>
          <w:p w:rsidR="00CF5254" w:rsidRPr="00CF5254" w:rsidRDefault="00CF5254" w:rsidP="00CF5254">
            <w:pPr>
              <w:pStyle w:val="a7"/>
              <w:spacing w:line="240" w:lineRule="auto"/>
              <w:rPr>
                <w:rFonts w:asciiTheme="majorEastAsia" w:eastAsiaTheme="majorEastAsia" w:hAnsiTheme="majorEastAsia"/>
                <w:bCs/>
                <w:szCs w:val="24"/>
              </w:rPr>
            </w:pPr>
          </w:p>
          <w:p w:rsidR="00C0061B" w:rsidRPr="00CF5254" w:rsidRDefault="00927E4C" w:rsidP="00CF5254">
            <w:pPr>
              <w:ind w:firstLineChars="200" w:firstLine="480"/>
              <w:rPr>
                <w:rFonts w:asciiTheme="majorEastAsia" w:eastAsiaTheme="majorEastAsia" w:hAnsiTheme="majorEastAsia"/>
                <w:bCs/>
                <w:sz w:val="24"/>
              </w:rPr>
            </w:pPr>
            <w:r w:rsidRPr="00CF5254">
              <w:rPr>
                <w:rFonts w:asciiTheme="majorEastAsia" w:eastAsiaTheme="majorEastAsia" w:hAnsiTheme="majorEastAsia" w:hint="eastAsia"/>
                <w:bCs/>
                <w:sz w:val="24"/>
              </w:rPr>
              <w:t>以</w:t>
            </w:r>
            <w:r w:rsidR="0007455D" w:rsidRPr="00CF5254">
              <w:rPr>
                <w:rFonts w:asciiTheme="majorEastAsia" w:eastAsiaTheme="majorEastAsia" w:hAnsiTheme="majorEastAsia" w:hint="eastAsia"/>
                <w:bCs/>
                <w:sz w:val="24"/>
              </w:rPr>
              <w:t>研究团队</w:t>
            </w:r>
            <w:r w:rsidRPr="00CF5254">
              <w:rPr>
                <w:rFonts w:asciiTheme="majorEastAsia" w:eastAsiaTheme="majorEastAsia" w:hAnsiTheme="majorEastAsia" w:hint="eastAsia"/>
                <w:bCs/>
                <w:sz w:val="24"/>
              </w:rPr>
              <w:t>作为技术</w:t>
            </w:r>
            <w:r w:rsidR="0023705E" w:rsidRPr="00CF5254">
              <w:rPr>
                <w:rFonts w:asciiTheme="majorEastAsia" w:eastAsiaTheme="majorEastAsia" w:hAnsiTheme="majorEastAsia" w:hint="eastAsia"/>
                <w:bCs/>
                <w:sz w:val="24"/>
              </w:rPr>
              <w:t>支撑的大连融科储能技术发展有限公司，开展了</w:t>
            </w:r>
            <w:r w:rsidR="00C0061B" w:rsidRPr="00CF5254">
              <w:rPr>
                <w:rFonts w:asciiTheme="majorEastAsia" w:eastAsiaTheme="majorEastAsia" w:hAnsiTheme="majorEastAsia" w:hint="eastAsia"/>
                <w:bCs/>
                <w:sz w:val="24"/>
              </w:rPr>
              <w:t>包括</w:t>
            </w:r>
            <w:r w:rsidR="0023705E" w:rsidRPr="00CF5254">
              <w:rPr>
                <w:rFonts w:asciiTheme="majorEastAsia" w:eastAsiaTheme="majorEastAsia" w:hAnsiTheme="majorEastAsia" w:hint="eastAsia"/>
                <w:bCs/>
                <w:sz w:val="24"/>
              </w:rPr>
              <w:t>锦州黑</w:t>
            </w:r>
            <w:r w:rsidR="00C0061B" w:rsidRPr="00CF5254">
              <w:rPr>
                <w:rFonts w:asciiTheme="majorEastAsia" w:eastAsiaTheme="majorEastAsia" w:hAnsiTheme="majorEastAsia" w:hint="eastAsia"/>
                <w:bCs/>
                <w:sz w:val="24"/>
              </w:rPr>
              <w:t>山</w:t>
            </w:r>
            <w:r w:rsidR="00C0061B" w:rsidRPr="00CF5254">
              <w:rPr>
                <w:rFonts w:asciiTheme="majorEastAsia" w:eastAsiaTheme="majorEastAsia" w:hAnsiTheme="majorEastAsia"/>
                <w:bCs/>
                <w:sz w:val="24"/>
              </w:rPr>
              <w:t>3MW/6MWh</w:t>
            </w:r>
            <w:r w:rsidR="00C0061B" w:rsidRPr="00CF5254">
              <w:rPr>
                <w:rFonts w:asciiTheme="majorEastAsia" w:eastAsiaTheme="majorEastAsia" w:hAnsiTheme="majorEastAsia" w:hint="eastAsia"/>
                <w:bCs/>
                <w:sz w:val="24"/>
              </w:rPr>
              <w:t>等多项商业化应用示范，推进了液流电池的产业化。</w:t>
            </w:r>
            <w:r w:rsidR="00612488" w:rsidRPr="00CF5254">
              <w:rPr>
                <w:rFonts w:asciiTheme="majorEastAsia" w:eastAsiaTheme="majorEastAsia" w:hAnsiTheme="majorEastAsia" w:hint="eastAsia"/>
                <w:bCs/>
                <w:sz w:val="24"/>
              </w:rPr>
              <w:t>大连融科储能技术发展有限公司</w:t>
            </w:r>
            <w:r w:rsidR="00C0061B" w:rsidRPr="00CF5254">
              <w:rPr>
                <w:rFonts w:asciiTheme="majorEastAsia" w:eastAsiaTheme="majorEastAsia" w:hAnsiTheme="majorEastAsia" w:hint="eastAsia"/>
                <w:bCs/>
                <w:sz w:val="24"/>
              </w:rPr>
              <w:t>开发的液流电池储能系统成功进军欧美市场，成功中标由德国博</w:t>
            </w:r>
            <w:proofErr w:type="gramStart"/>
            <w:r w:rsidR="00C0061B" w:rsidRPr="00CF5254">
              <w:rPr>
                <w:rFonts w:asciiTheme="majorEastAsia" w:eastAsiaTheme="majorEastAsia" w:hAnsiTheme="majorEastAsia" w:hint="eastAsia"/>
                <w:bCs/>
                <w:sz w:val="24"/>
              </w:rPr>
              <w:t>世</w:t>
            </w:r>
            <w:proofErr w:type="gramEnd"/>
            <w:r w:rsidR="00C0061B" w:rsidRPr="00CF5254">
              <w:rPr>
                <w:rFonts w:asciiTheme="majorEastAsia" w:eastAsiaTheme="majorEastAsia" w:hAnsiTheme="majorEastAsia" w:hint="eastAsia"/>
                <w:bCs/>
                <w:sz w:val="24"/>
              </w:rPr>
              <w:t>（BOSCH）公司为总承包商的欧洲首套兆瓦</w:t>
            </w:r>
            <w:proofErr w:type="gramStart"/>
            <w:r w:rsidR="00C0061B" w:rsidRPr="00CF5254">
              <w:rPr>
                <w:rFonts w:asciiTheme="majorEastAsia" w:eastAsiaTheme="majorEastAsia" w:hAnsiTheme="majorEastAsia" w:hint="eastAsia"/>
                <w:bCs/>
                <w:sz w:val="24"/>
              </w:rPr>
              <w:t>级商业</w:t>
            </w:r>
            <w:proofErr w:type="gramEnd"/>
            <w:r w:rsidR="00C0061B" w:rsidRPr="00CF5254">
              <w:rPr>
                <w:rFonts w:asciiTheme="majorEastAsia" w:eastAsiaTheme="majorEastAsia" w:hAnsiTheme="majorEastAsia" w:hint="eastAsia"/>
                <w:bCs/>
                <w:sz w:val="24"/>
              </w:rPr>
              <w:t>储能项目，已在德国分布式电网中应用</w:t>
            </w:r>
            <w:r w:rsidR="00612488" w:rsidRPr="00CF5254">
              <w:rPr>
                <w:rFonts w:asciiTheme="majorEastAsia" w:eastAsiaTheme="majorEastAsia" w:hAnsiTheme="majorEastAsia" w:hint="eastAsia"/>
                <w:bCs/>
                <w:sz w:val="24"/>
              </w:rPr>
              <w:t>。</w:t>
            </w:r>
            <w:r w:rsidR="00C0061B" w:rsidRPr="00CF5254">
              <w:rPr>
                <w:rFonts w:asciiTheme="majorEastAsia" w:eastAsiaTheme="majorEastAsia" w:hAnsiTheme="majorEastAsia" w:hint="eastAsia"/>
                <w:bCs/>
                <w:sz w:val="24"/>
              </w:rPr>
              <w:t>同时为美国战略合作伙伴UET华盛顿3MW/10MWh液流电池项目</w:t>
            </w:r>
            <w:proofErr w:type="gramStart"/>
            <w:r w:rsidR="00C0061B" w:rsidRPr="00CF5254">
              <w:rPr>
                <w:rFonts w:asciiTheme="majorEastAsia" w:eastAsiaTheme="majorEastAsia" w:hAnsiTheme="majorEastAsia" w:hint="eastAsia"/>
                <w:bCs/>
                <w:sz w:val="24"/>
              </w:rPr>
              <w:t>提供电堆和</w:t>
            </w:r>
            <w:proofErr w:type="gramEnd"/>
            <w:r w:rsidR="00C0061B" w:rsidRPr="00CF5254">
              <w:rPr>
                <w:rFonts w:asciiTheme="majorEastAsia" w:eastAsiaTheme="majorEastAsia" w:hAnsiTheme="majorEastAsia" w:hint="eastAsia"/>
                <w:bCs/>
                <w:sz w:val="24"/>
              </w:rPr>
              <w:t>电解质溶液。</w:t>
            </w:r>
          </w:p>
          <w:p w:rsidR="00CF5254" w:rsidRPr="00CF5254" w:rsidRDefault="00CF5254" w:rsidP="00CF5254">
            <w:pPr>
              <w:ind w:firstLineChars="200" w:firstLine="480"/>
              <w:rPr>
                <w:rFonts w:asciiTheme="majorEastAsia" w:eastAsiaTheme="majorEastAsia" w:hAnsiTheme="majorEastAsia"/>
                <w:bCs/>
                <w:sz w:val="24"/>
              </w:rPr>
            </w:pPr>
          </w:p>
          <w:p w:rsidR="000418A0" w:rsidRPr="00CF5254" w:rsidRDefault="0007455D" w:rsidP="00CF5254">
            <w:pPr>
              <w:ind w:firstLineChars="200" w:firstLine="480"/>
              <w:rPr>
                <w:rFonts w:asciiTheme="majorEastAsia" w:eastAsiaTheme="majorEastAsia" w:hAnsiTheme="majorEastAsia"/>
                <w:bCs/>
                <w:sz w:val="24"/>
              </w:rPr>
            </w:pPr>
            <w:r w:rsidRPr="00CF5254">
              <w:rPr>
                <w:rFonts w:asciiTheme="majorEastAsia" w:eastAsiaTheme="majorEastAsia" w:hAnsiTheme="majorEastAsia" w:hint="eastAsia"/>
                <w:bCs/>
                <w:sz w:val="24"/>
              </w:rPr>
              <w:t>201</w:t>
            </w:r>
            <w:r w:rsidR="00C0061B" w:rsidRPr="00CF5254">
              <w:rPr>
                <w:rFonts w:asciiTheme="majorEastAsia" w:eastAsiaTheme="majorEastAsia" w:hAnsiTheme="majorEastAsia" w:hint="eastAsia"/>
                <w:bCs/>
                <w:sz w:val="24"/>
              </w:rPr>
              <w:t>4</w:t>
            </w:r>
            <w:r w:rsidRPr="00CF5254">
              <w:rPr>
                <w:rFonts w:asciiTheme="majorEastAsia" w:eastAsiaTheme="majorEastAsia" w:hAnsiTheme="majorEastAsia" w:hint="eastAsia"/>
                <w:bCs/>
                <w:sz w:val="24"/>
              </w:rPr>
              <w:t>年研究</w:t>
            </w:r>
            <w:proofErr w:type="gramStart"/>
            <w:r w:rsidRPr="00CF5254">
              <w:rPr>
                <w:rFonts w:asciiTheme="majorEastAsia" w:eastAsiaTheme="majorEastAsia" w:hAnsiTheme="majorEastAsia" w:hint="eastAsia"/>
                <w:bCs/>
                <w:sz w:val="24"/>
              </w:rPr>
              <w:t>组发表</w:t>
            </w:r>
            <w:proofErr w:type="gramEnd"/>
            <w:r w:rsidRPr="00CF5254">
              <w:rPr>
                <w:rFonts w:asciiTheme="majorEastAsia" w:eastAsiaTheme="majorEastAsia" w:hAnsiTheme="majorEastAsia" w:hint="eastAsia"/>
                <w:bCs/>
                <w:sz w:val="24"/>
              </w:rPr>
              <w:t>SCI文章1</w:t>
            </w:r>
            <w:r w:rsidR="00E0332E" w:rsidRPr="00CF5254">
              <w:rPr>
                <w:rFonts w:asciiTheme="majorEastAsia" w:eastAsiaTheme="majorEastAsia" w:hAnsiTheme="majorEastAsia" w:hint="eastAsia"/>
                <w:bCs/>
                <w:sz w:val="24"/>
              </w:rPr>
              <w:t>4</w:t>
            </w:r>
            <w:r w:rsidRPr="00CF5254">
              <w:rPr>
                <w:rFonts w:asciiTheme="majorEastAsia" w:eastAsiaTheme="majorEastAsia" w:hAnsiTheme="majorEastAsia" w:hint="eastAsia"/>
                <w:bCs/>
                <w:sz w:val="24"/>
              </w:rPr>
              <w:t>篇，</w:t>
            </w:r>
            <w:r w:rsidR="00C0061B" w:rsidRPr="00CF5254">
              <w:rPr>
                <w:rFonts w:asciiTheme="majorEastAsia" w:eastAsiaTheme="majorEastAsia" w:hAnsiTheme="majorEastAsia" w:hint="eastAsia"/>
                <w:bCs/>
                <w:sz w:val="24"/>
              </w:rPr>
              <w:t>申报</w:t>
            </w:r>
            <w:r w:rsidR="0024058B" w:rsidRPr="00CF5254">
              <w:rPr>
                <w:rFonts w:asciiTheme="majorEastAsia" w:eastAsiaTheme="majorEastAsia" w:hAnsiTheme="majorEastAsia" w:hint="eastAsia"/>
                <w:bCs/>
                <w:sz w:val="24"/>
              </w:rPr>
              <w:t>专利30余件</w:t>
            </w:r>
            <w:r w:rsidRPr="00CF5254">
              <w:rPr>
                <w:rFonts w:asciiTheme="majorEastAsia" w:eastAsiaTheme="majorEastAsia" w:hAnsiTheme="majorEastAsia" w:hint="eastAsia"/>
                <w:bCs/>
                <w:sz w:val="24"/>
              </w:rPr>
              <w:t>。</w:t>
            </w:r>
            <w:r w:rsidR="0070352A" w:rsidRPr="00CF5254">
              <w:rPr>
                <w:rFonts w:asciiTheme="majorEastAsia" w:eastAsiaTheme="majorEastAsia" w:hAnsiTheme="majorEastAsia" w:hint="eastAsia"/>
                <w:bCs/>
                <w:sz w:val="24"/>
              </w:rPr>
              <w:t>基于研究团队多年的技术积累，</w:t>
            </w:r>
            <w:proofErr w:type="gramStart"/>
            <w:r w:rsidR="0070352A" w:rsidRPr="00CF5254">
              <w:rPr>
                <w:rFonts w:asciiTheme="majorEastAsia" w:eastAsiaTheme="majorEastAsia" w:hAnsiTheme="majorEastAsia" w:hint="eastAsia"/>
                <w:bCs/>
                <w:sz w:val="24"/>
              </w:rPr>
              <w:t>全钒液流</w:t>
            </w:r>
            <w:proofErr w:type="gramEnd"/>
            <w:r w:rsidR="0070352A" w:rsidRPr="00CF5254">
              <w:rPr>
                <w:rFonts w:asciiTheme="majorEastAsia" w:eastAsiaTheme="majorEastAsia" w:hAnsiTheme="majorEastAsia" w:hint="eastAsia"/>
                <w:bCs/>
                <w:sz w:val="24"/>
              </w:rPr>
              <w:t>电池技术研究团队荣获2014年“中国科学院杰出科技成就奖”， 《</w:t>
            </w:r>
            <w:r w:rsidR="0070352A" w:rsidRPr="00CF5254">
              <w:rPr>
                <w:rFonts w:asciiTheme="majorEastAsia" w:eastAsiaTheme="majorEastAsia" w:hAnsiTheme="majorEastAsia"/>
                <w:bCs/>
                <w:sz w:val="24"/>
              </w:rPr>
              <w:t>风电并网用5MW/10MW全钒液流电池储能系统</w:t>
            </w:r>
            <w:r w:rsidR="0070352A" w:rsidRPr="00CF5254">
              <w:rPr>
                <w:rFonts w:asciiTheme="majorEastAsia" w:eastAsiaTheme="majorEastAsia" w:hAnsiTheme="majorEastAsia" w:hint="eastAsia"/>
                <w:bCs/>
                <w:sz w:val="24"/>
              </w:rPr>
              <w:t>》获2014年“辽宁省企业重大科技成果奖”。</w:t>
            </w:r>
          </w:p>
          <w:p w:rsidR="00301A64" w:rsidRDefault="00301A64" w:rsidP="00301A64">
            <w:pPr>
              <w:ind w:firstLineChars="200" w:firstLine="482"/>
              <w:rPr>
                <w:rFonts w:asciiTheme="majorEastAsia" w:eastAsiaTheme="majorEastAsia" w:hAnsiTheme="majorEastAsia"/>
                <w:b/>
                <w:bCs/>
                <w:sz w:val="24"/>
              </w:rPr>
            </w:pPr>
          </w:p>
          <w:p w:rsidR="00301A64" w:rsidRDefault="00301A64" w:rsidP="00301A64">
            <w:pPr>
              <w:ind w:firstLineChars="200" w:firstLine="482"/>
              <w:rPr>
                <w:rFonts w:asciiTheme="majorEastAsia" w:eastAsiaTheme="majorEastAsia" w:hAnsiTheme="majorEastAsia"/>
                <w:b/>
                <w:bCs/>
                <w:sz w:val="24"/>
              </w:rPr>
            </w:pPr>
          </w:p>
          <w:p w:rsidR="00CF5254" w:rsidRPr="00CE397F" w:rsidRDefault="00CF5254" w:rsidP="0023705E">
            <w:pPr>
              <w:spacing w:line="360" w:lineRule="exact"/>
              <w:rPr>
                <w:rFonts w:ascii="宋体" w:hAnsi="宋体"/>
                <w:sz w:val="24"/>
              </w:rPr>
            </w:pPr>
          </w:p>
        </w:tc>
      </w:tr>
    </w:tbl>
    <w:p w:rsidR="0059157F" w:rsidRPr="00724058" w:rsidRDefault="0059157F">
      <w:pPr>
        <w:rPr>
          <w:rFonts w:ascii="仿宋_GB2312" w:eastAsia="仿宋_GB2312"/>
          <w:sz w:val="32"/>
          <w:szCs w:val="32"/>
        </w:rPr>
      </w:pPr>
    </w:p>
    <w:sectPr w:rsidR="0059157F" w:rsidRPr="00724058" w:rsidSect="00DD42D1">
      <w:pgSz w:w="11906" w:h="16838"/>
      <w:pgMar w:top="1440" w:right="1800" w:bottom="109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780" w:rsidRDefault="003C5780" w:rsidP="00A81D83">
      <w:r>
        <w:separator/>
      </w:r>
    </w:p>
  </w:endnote>
  <w:endnote w:type="continuationSeparator" w:id="0">
    <w:p w:rsidR="003C5780" w:rsidRDefault="003C5780" w:rsidP="00A8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780" w:rsidRDefault="003C5780" w:rsidP="00A81D83">
      <w:r>
        <w:separator/>
      </w:r>
    </w:p>
  </w:footnote>
  <w:footnote w:type="continuationSeparator" w:id="0">
    <w:p w:rsidR="003C5780" w:rsidRDefault="003C5780" w:rsidP="00A81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7F"/>
    <w:rsid w:val="000418A0"/>
    <w:rsid w:val="0007455D"/>
    <w:rsid w:val="000C7E0E"/>
    <w:rsid w:val="000D62C9"/>
    <w:rsid w:val="000D7510"/>
    <w:rsid w:val="00117297"/>
    <w:rsid w:val="0013209C"/>
    <w:rsid w:val="001767C5"/>
    <w:rsid w:val="001774F2"/>
    <w:rsid w:val="001D57E2"/>
    <w:rsid w:val="001E3633"/>
    <w:rsid w:val="001F4B3C"/>
    <w:rsid w:val="0023705E"/>
    <w:rsid w:val="0024058B"/>
    <w:rsid w:val="00247666"/>
    <w:rsid w:val="00271BF6"/>
    <w:rsid w:val="0028256C"/>
    <w:rsid w:val="0028493B"/>
    <w:rsid w:val="00287A2C"/>
    <w:rsid w:val="002A3B61"/>
    <w:rsid w:val="00301A64"/>
    <w:rsid w:val="003036D2"/>
    <w:rsid w:val="00323353"/>
    <w:rsid w:val="00342160"/>
    <w:rsid w:val="003609F1"/>
    <w:rsid w:val="00380457"/>
    <w:rsid w:val="003C5780"/>
    <w:rsid w:val="00404E6D"/>
    <w:rsid w:val="00405D7A"/>
    <w:rsid w:val="0047005A"/>
    <w:rsid w:val="00493708"/>
    <w:rsid w:val="004B6158"/>
    <w:rsid w:val="004C2F09"/>
    <w:rsid w:val="004C2FBE"/>
    <w:rsid w:val="004D3672"/>
    <w:rsid w:val="004D545E"/>
    <w:rsid w:val="004F7841"/>
    <w:rsid w:val="00516973"/>
    <w:rsid w:val="00535ADC"/>
    <w:rsid w:val="005457DD"/>
    <w:rsid w:val="00564E39"/>
    <w:rsid w:val="0059157F"/>
    <w:rsid w:val="0060518A"/>
    <w:rsid w:val="006111F3"/>
    <w:rsid w:val="00612488"/>
    <w:rsid w:val="006201DF"/>
    <w:rsid w:val="00627CDA"/>
    <w:rsid w:val="006806A5"/>
    <w:rsid w:val="006B6B31"/>
    <w:rsid w:val="006E39BC"/>
    <w:rsid w:val="006F2343"/>
    <w:rsid w:val="007030F5"/>
    <w:rsid w:val="0070352A"/>
    <w:rsid w:val="007204F5"/>
    <w:rsid w:val="00724058"/>
    <w:rsid w:val="00730195"/>
    <w:rsid w:val="00744740"/>
    <w:rsid w:val="00772AE2"/>
    <w:rsid w:val="0077600B"/>
    <w:rsid w:val="007B58A3"/>
    <w:rsid w:val="007B6CB7"/>
    <w:rsid w:val="007C3115"/>
    <w:rsid w:val="007C5A15"/>
    <w:rsid w:val="007D64A9"/>
    <w:rsid w:val="007E6DC3"/>
    <w:rsid w:val="00826474"/>
    <w:rsid w:val="00864CC3"/>
    <w:rsid w:val="008B51D9"/>
    <w:rsid w:val="008B599F"/>
    <w:rsid w:val="008C69F2"/>
    <w:rsid w:val="00911174"/>
    <w:rsid w:val="00927E4C"/>
    <w:rsid w:val="00981A09"/>
    <w:rsid w:val="009C4B3C"/>
    <w:rsid w:val="009E0A26"/>
    <w:rsid w:val="00A6125B"/>
    <w:rsid w:val="00A80F50"/>
    <w:rsid w:val="00A81D83"/>
    <w:rsid w:val="00AA29CC"/>
    <w:rsid w:val="00AE7F13"/>
    <w:rsid w:val="00AF62F9"/>
    <w:rsid w:val="00B13B2A"/>
    <w:rsid w:val="00B166B4"/>
    <w:rsid w:val="00B46FF6"/>
    <w:rsid w:val="00B74EF7"/>
    <w:rsid w:val="00B8180E"/>
    <w:rsid w:val="00B933D4"/>
    <w:rsid w:val="00B9386A"/>
    <w:rsid w:val="00BA743E"/>
    <w:rsid w:val="00BB7FCA"/>
    <w:rsid w:val="00BC3B8B"/>
    <w:rsid w:val="00C0061B"/>
    <w:rsid w:val="00C04962"/>
    <w:rsid w:val="00C06C4F"/>
    <w:rsid w:val="00C27CDD"/>
    <w:rsid w:val="00C41B45"/>
    <w:rsid w:val="00C65006"/>
    <w:rsid w:val="00C76060"/>
    <w:rsid w:val="00CE0C7B"/>
    <w:rsid w:val="00CE397F"/>
    <w:rsid w:val="00CE5D83"/>
    <w:rsid w:val="00CF5254"/>
    <w:rsid w:val="00D20CAE"/>
    <w:rsid w:val="00DA5EE7"/>
    <w:rsid w:val="00DB3FC3"/>
    <w:rsid w:val="00DC291A"/>
    <w:rsid w:val="00DD038F"/>
    <w:rsid w:val="00DD42D1"/>
    <w:rsid w:val="00E0332E"/>
    <w:rsid w:val="00E35EE5"/>
    <w:rsid w:val="00E5125B"/>
    <w:rsid w:val="00E64338"/>
    <w:rsid w:val="00E80A45"/>
    <w:rsid w:val="00EA061F"/>
    <w:rsid w:val="00F3780F"/>
    <w:rsid w:val="00F61646"/>
    <w:rsid w:val="00FD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E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15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74EF7"/>
    <w:rPr>
      <w:sz w:val="18"/>
      <w:szCs w:val="18"/>
    </w:rPr>
  </w:style>
  <w:style w:type="paragraph" w:styleId="a5">
    <w:name w:val="header"/>
    <w:basedOn w:val="a"/>
    <w:link w:val="Char"/>
    <w:rsid w:val="00A81D8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A81D83"/>
    <w:rPr>
      <w:kern w:val="2"/>
      <w:sz w:val="18"/>
      <w:szCs w:val="18"/>
    </w:rPr>
  </w:style>
  <w:style w:type="paragraph" w:styleId="a6">
    <w:name w:val="footer"/>
    <w:basedOn w:val="a"/>
    <w:link w:val="Char0"/>
    <w:rsid w:val="00A81D83"/>
    <w:pPr>
      <w:tabs>
        <w:tab w:val="center" w:pos="4153"/>
        <w:tab w:val="right" w:pos="8306"/>
      </w:tabs>
      <w:snapToGrid w:val="0"/>
      <w:jc w:val="left"/>
    </w:pPr>
    <w:rPr>
      <w:sz w:val="18"/>
      <w:szCs w:val="18"/>
    </w:rPr>
  </w:style>
  <w:style w:type="character" w:customStyle="1" w:styleId="Char0">
    <w:name w:val="页脚 Char"/>
    <w:link w:val="a6"/>
    <w:rsid w:val="00A81D83"/>
    <w:rPr>
      <w:kern w:val="2"/>
      <w:sz w:val="18"/>
      <w:szCs w:val="18"/>
    </w:rPr>
  </w:style>
  <w:style w:type="character" w:customStyle="1" w:styleId="Char1">
    <w:name w:val="纯文本 Char"/>
    <w:basedOn w:val="a0"/>
    <w:link w:val="a7"/>
    <w:rsid w:val="00C0061B"/>
    <w:rPr>
      <w:rFonts w:ascii="仿宋_GB2312"/>
      <w:kern w:val="2"/>
      <w:sz w:val="24"/>
    </w:rPr>
  </w:style>
  <w:style w:type="paragraph" w:styleId="a7">
    <w:name w:val="Plain Text"/>
    <w:basedOn w:val="a"/>
    <w:link w:val="Char1"/>
    <w:rsid w:val="00C0061B"/>
    <w:pPr>
      <w:spacing w:line="360" w:lineRule="auto"/>
      <w:ind w:firstLineChars="200" w:firstLine="480"/>
    </w:pPr>
    <w:rPr>
      <w:rFonts w:ascii="仿宋_GB2312"/>
      <w:sz w:val="24"/>
      <w:szCs w:val="20"/>
    </w:rPr>
  </w:style>
  <w:style w:type="character" w:customStyle="1" w:styleId="Char10">
    <w:name w:val="纯文本 Char1"/>
    <w:basedOn w:val="a0"/>
    <w:rsid w:val="00C0061B"/>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E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15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74EF7"/>
    <w:rPr>
      <w:sz w:val="18"/>
      <w:szCs w:val="18"/>
    </w:rPr>
  </w:style>
  <w:style w:type="paragraph" w:styleId="a5">
    <w:name w:val="header"/>
    <w:basedOn w:val="a"/>
    <w:link w:val="Char"/>
    <w:rsid w:val="00A81D8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A81D83"/>
    <w:rPr>
      <w:kern w:val="2"/>
      <w:sz w:val="18"/>
      <w:szCs w:val="18"/>
    </w:rPr>
  </w:style>
  <w:style w:type="paragraph" w:styleId="a6">
    <w:name w:val="footer"/>
    <w:basedOn w:val="a"/>
    <w:link w:val="Char0"/>
    <w:rsid w:val="00A81D83"/>
    <w:pPr>
      <w:tabs>
        <w:tab w:val="center" w:pos="4153"/>
        <w:tab w:val="right" w:pos="8306"/>
      </w:tabs>
      <w:snapToGrid w:val="0"/>
      <w:jc w:val="left"/>
    </w:pPr>
    <w:rPr>
      <w:sz w:val="18"/>
      <w:szCs w:val="18"/>
    </w:rPr>
  </w:style>
  <w:style w:type="character" w:customStyle="1" w:styleId="Char0">
    <w:name w:val="页脚 Char"/>
    <w:link w:val="a6"/>
    <w:rsid w:val="00A81D83"/>
    <w:rPr>
      <w:kern w:val="2"/>
      <w:sz w:val="18"/>
      <w:szCs w:val="18"/>
    </w:rPr>
  </w:style>
  <w:style w:type="character" w:customStyle="1" w:styleId="Char1">
    <w:name w:val="纯文本 Char"/>
    <w:basedOn w:val="a0"/>
    <w:link w:val="a7"/>
    <w:rsid w:val="00C0061B"/>
    <w:rPr>
      <w:rFonts w:ascii="仿宋_GB2312"/>
      <w:kern w:val="2"/>
      <w:sz w:val="24"/>
    </w:rPr>
  </w:style>
  <w:style w:type="paragraph" w:styleId="a7">
    <w:name w:val="Plain Text"/>
    <w:basedOn w:val="a"/>
    <w:link w:val="Char1"/>
    <w:rsid w:val="00C0061B"/>
    <w:pPr>
      <w:spacing w:line="360" w:lineRule="auto"/>
      <w:ind w:firstLineChars="200" w:firstLine="480"/>
    </w:pPr>
    <w:rPr>
      <w:rFonts w:ascii="仿宋_GB2312"/>
      <w:sz w:val="24"/>
      <w:szCs w:val="20"/>
    </w:rPr>
  </w:style>
  <w:style w:type="character" w:customStyle="1" w:styleId="Char10">
    <w:name w:val="纯文本 Char1"/>
    <w:basedOn w:val="a0"/>
    <w:rsid w:val="00C0061B"/>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31340">
      <w:bodyDiv w:val="1"/>
      <w:marLeft w:val="0"/>
      <w:marRight w:val="0"/>
      <w:marTop w:val="0"/>
      <w:marBottom w:val="0"/>
      <w:divBdr>
        <w:top w:val="none" w:sz="0" w:space="0" w:color="auto"/>
        <w:left w:val="none" w:sz="0" w:space="0" w:color="auto"/>
        <w:bottom w:val="none" w:sz="0" w:space="0" w:color="auto"/>
        <w:right w:val="none" w:sz="0" w:space="0" w:color="auto"/>
      </w:divBdr>
      <w:divsChild>
        <w:div w:id="1942949906">
          <w:marLeft w:val="0"/>
          <w:marRight w:val="0"/>
          <w:marTop w:val="0"/>
          <w:marBottom w:val="0"/>
          <w:divBdr>
            <w:top w:val="none" w:sz="0" w:space="0" w:color="auto"/>
            <w:left w:val="none" w:sz="0" w:space="0" w:color="auto"/>
            <w:bottom w:val="none" w:sz="0" w:space="0" w:color="auto"/>
            <w:right w:val="none" w:sz="0" w:space="0" w:color="auto"/>
          </w:divBdr>
        </w:div>
      </w:divsChild>
    </w:div>
    <w:div w:id="531722487">
      <w:bodyDiv w:val="1"/>
      <w:marLeft w:val="0"/>
      <w:marRight w:val="0"/>
      <w:marTop w:val="0"/>
      <w:marBottom w:val="0"/>
      <w:divBdr>
        <w:top w:val="none" w:sz="0" w:space="0" w:color="auto"/>
        <w:left w:val="none" w:sz="0" w:space="0" w:color="auto"/>
        <w:bottom w:val="none" w:sz="0" w:space="0" w:color="auto"/>
        <w:right w:val="none" w:sz="0" w:space="0" w:color="auto"/>
      </w:divBdr>
      <w:divsChild>
        <w:div w:id="1974870199">
          <w:marLeft w:val="0"/>
          <w:marRight w:val="0"/>
          <w:marTop w:val="0"/>
          <w:marBottom w:val="0"/>
          <w:divBdr>
            <w:top w:val="none" w:sz="0" w:space="0" w:color="auto"/>
            <w:left w:val="none" w:sz="0" w:space="0" w:color="auto"/>
            <w:bottom w:val="none" w:sz="0" w:space="0" w:color="auto"/>
            <w:right w:val="none" w:sz="0" w:space="0" w:color="auto"/>
          </w:divBdr>
        </w:div>
      </w:divsChild>
    </w:div>
    <w:div w:id="1182747257">
      <w:bodyDiv w:val="1"/>
      <w:marLeft w:val="0"/>
      <w:marRight w:val="0"/>
      <w:marTop w:val="0"/>
      <w:marBottom w:val="0"/>
      <w:divBdr>
        <w:top w:val="none" w:sz="0" w:space="0" w:color="auto"/>
        <w:left w:val="none" w:sz="0" w:space="0" w:color="auto"/>
        <w:bottom w:val="none" w:sz="0" w:space="0" w:color="auto"/>
        <w:right w:val="none" w:sz="0" w:space="0" w:color="auto"/>
      </w:divBdr>
      <w:divsChild>
        <w:div w:id="155072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中国科学院大连化学物理研究所</dc:title>
  <dc:creator>王岩</dc:creator>
  <cp:lastModifiedBy>lxj</cp:lastModifiedBy>
  <cp:revision>8</cp:revision>
  <cp:lastPrinted>2012-01-13T07:00:00Z</cp:lastPrinted>
  <dcterms:created xsi:type="dcterms:W3CDTF">2015-01-19T08:12:00Z</dcterms:created>
  <dcterms:modified xsi:type="dcterms:W3CDTF">2015-02-11T02:37:00Z</dcterms:modified>
</cp:coreProperties>
</file>